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0AB" w:rsidRDefault="003A6819" w:rsidP="003A6819">
      <w:pPr>
        <w:spacing w:after="0"/>
        <w:jc w:val="center"/>
        <w:rPr>
          <w:b/>
          <w:u w:val="single"/>
        </w:rPr>
      </w:pPr>
      <w:r>
        <w:rPr>
          <w:b/>
          <w:u w:val="single"/>
        </w:rPr>
        <w:t>Maladies fongiques chez l’Homme.</w:t>
      </w:r>
    </w:p>
    <w:p w:rsidR="003A6819" w:rsidRDefault="003A6819" w:rsidP="003A6819">
      <w:pPr>
        <w:spacing w:after="0"/>
        <w:jc w:val="both"/>
      </w:pPr>
    </w:p>
    <w:p w:rsidR="003A6819" w:rsidRDefault="003A6819" w:rsidP="003A6819">
      <w:pPr>
        <w:spacing w:after="0"/>
        <w:jc w:val="both"/>
      </w:pPr>
      <w:r>
        <w:t>-Il existe 50 pathogène de l’homme (dont 6 ascomycètes dimorphiques).</w:t>
      </w:r>
    </w:p>
    <w:p w:rsidR="003A6819" w:rsidRDefault="003A6819" w:rsidP="003A6819">
      <w:pPr>
        <w:spacing w:after="0"/>
        <w:jc w:val="both"/>
      </w:pPr>
      <w:r>
        <w:t>-Les hommes sont moins sensibles aux attaques fongiques : c’est en grandes partie car on est à 37°C. De plus, on a toute une flore résidente qui peut lutter contre eux. Enfin, on dispose du système immunitaire.</w:t>
      </w:r>
    </w:p>
    <w:p w:rsidR="003A6819" w:rsidRDefault="003A6819" w:rsidP="003A6819">
      <w:pPr>
        <w:spacing w:after="0"/>
        <w:jc w:val="both"/>
      </w:pPr>
      <w:r>
        <w:t>-On distingue les pathogènes primaires qui vont infecter un hôte sain.</w:t>
      </w:r>
    </w:p>
    <w:p w:rsidR="003A6819" w:rsidRDefault="003A6819" w:rsidP="003A6819">
      <w:pPr>
        <w:spacing w:after="0"/>
        <w:jc w:val="both"/>
      </w:pPr>
      <w:r>
        <w:t>-On distingue aussi les pathogènes opportunistes leur infection liée à l’état immunodéprimé.</w:t>
      </w:r>
    </w:p>
    <w:p w:rsidR="003A6819" w:rsidRDefault="003A6819" w:rsidP="003A6819">
      <w:pPr>
        <w:spacing w:after="0"/>
        <w:jc w:val="both"/>
        <w:rPr>
          <w:b/>
          <w:u w:val="single"/>
        </w:rPr>
      </w:pPr>
      <w:r>
        <w:t xml:space="preserve">-Les plus répandus : Cryptococcus neoformans, Aspergillus fumigatus et </w:t>
      </w:r>
      <w:r>
        <w:rPr>
          <w:b/>
          <w:i/>
          <w:u w:val="single"/>
        </w:rPr>
        <w:t>Candida albicanns.</w:t>
      </w:r>
    </w:p>
    <w:p w:rsidR="003A6819" w:rsidRDefault="00E04AD5" w:rsidP="003A6819">
      <w:pPr>
        <w:spacing w:after="0"/>
        <w:jc w:val="both"/>
      </w:pPr>
      <w:r>
        <w:t>-infection sous cutanée : les spores pénètrent par des blessures, et on aura contact avec le système immunitaire et potentielle crosisance intracellulaire.</w:t>
      </w:r>
    </w:p>
    <w:p w:rsidR="00E04AD5" w:rsidRDefault="00E04AD5" w:rsidP="003A6819">
      <w:pPr>
        <w:spacing w:after="0"/>
        <w:jc w:val="both"/>
      </w:pPr>
      <w:r>
        <w:t>-Mycoses profondes ou systémique : le système sanguin est impliqué pour diffuser le pathogène.</w:t>
      </w:r>
    </w:p>
    <w:p w:rsidR="00E04AD5" w:rsidRDefault="00E04AD5" w:rsidP="003A6819">
      <w:pPr>
        <w:spacing w:after="0"/>
        <w:jc w:val="both"/>
      </w:pPr>
    </w:p>
    <w:p w:rsidR="00E04AD5" w:rsidRDefault="00E04AD5" w:rsidP="003A6819">
      <w:pPr>
        <w:spacing w:after="0"/>
        <w:jc w:val="both"/>
      </w:pPr>
      <w:r>
        <w:t>-Les facteurs de risques sont nombreux dès qu’on a des problèmes au niveau immunitaire. Chirurgie, prothèse, corticoïdes, brûlure, HIV, etc.</w:t>
      </w:r>
    </w:p>
    <w:p w:rsidR="00E04AD5" w:rsidRDefault="00EB0FA5" w:rsidP="003A6819">
      <w:pPr>
        <w:spacing w:after="0"/>
        <w:jc w:val="both"/>
      </w:pPr>
      <w:r>
        <w:t>-L’utilisation d’antifongiques et d’amphotéricine B en prophylaxie provoque l’augmentation de la population à risque.</w:t>
      </w:r>
    </w:p>
    <w:p w:rsidR="00EB0FA5" w:rsidRDefault="00EB0FA5" w:rsidP="003A6819">
      <w:pPr>
        <w:spacing w:after="0"/>
        <w:jc w:val="both"/>
      </w:pPr>
      <w:r>
        <w:t>-Dimorphiques : peuvent être filamenteux ou levure.</w:t>
      </w:r>
    </w:p>
    <w:p w:rsidR="00EB0FA5" w:rsidRDefault="00EB0FA5" w:rsidP="003A6819">
      <w:pPr>
        <w:spacing w:after="0"/>
        <w:jc w:val="both"/>
      </w:pPr>
      <w:r>
        <w:rPr>
          <w:i/>
        </w:rPr>
        <w:t>-Candida</w:t>
      </w:r>
      <w:r>
        <w:t xml:space="preserve"> aura une forme filamenteuse à 37°C, c’est cette forme qui sera pathogène.</w:t>
      </w:r>
    </w:p>
    <w:p w:rsidR="00EB0FA5" w:rsidRDefault="00EB0FA5" w:rsidP="003A6819">
      <w:pPr>
        <w:spacing w:after="0"/>
        <w:jc w:val="both"/>
      </w:pPr>
      <w:r>
        <w:t>-Ça apporte quoi au pathogène d’être dimorphique ?</w:t>
      </w:r>
      <w:r w:rsidR="00EE51DB">
        <w:t xml:space="preserve"> O</w:t>
      </w:r>
      <w:r>
        <w:t>n ne sait pas encore.</w:t>
      </w:r>
    </w:p>
    <w:p w:rsidR="00EB0FA5" w:rsidRDefault="00EE51DB" w:rsidP="003A6819">
      <w:pPr>
        <w:spacing w:after="0"/>
        <w:jc w:val="both"/>
      </w:pPr>
      <w:r>
        <w:t>-Cf diapo pour la présentation des différents dimorphiques.</w:t>
      </w:r>
    </w:p>
    <w:p w:rsidR="00EE51DB" w:rsidRDefault="00EE51DB" w:rsidP="003A6819">
      <w:pPr>
        <w:spacing w:after="0"/>
        <w:jc w:val="both"/>
      </w:pPr>
      <w:r>
        <w:t>-Importance biologique de la transition : transition nécessaire à l’infection, forme levure plus résistante au système immun. Changement de forme et de composition de la paroi et remodelage de la composition lipidique de la membrane plasmique.</w:t>
      </w:r>
    </w:p>
    <w:p w:rsidR="00EE51DB" w:rsidRDefault="00EE51DB" w:rsidP="003A6819">
      <w:pPr>
        <w:spacing w:after="0"/>
        <w:jc w:val="both"/>
      </w:pPr>
      <w:r>
        <w:t>-Ce qui est curieux c’est les changements de paroi. On va avoir augmentation des alpha glucanes à la place des béta glucanes. Car les béta sont plus pathogénique et donc plus facilement reconnaissable par le système immunitaire. On peut corréler l’apparition du pathogène avec l’apparition de ces alpha glucanes.</w:t>
      </w:r>
    </w:p>
    <w:p w:rsidR="00EE51DB" w:rsidRDefault="00EE51DB" w:rsidP="003A6819">
      <w:pPr>
        <w:spacing w:after="0"/>
        <w:jc w:val="both"/>
      </w:pPr>
      <w:r>
        <w:t>-Il y a un certain nombre de protéines associées à cette transition. La protéine Bad qui est présente à la surface des hyphes et qui est associée à cette transition morphologique. Il y a une calcium binding protein CBP1 et Yps3 associés à la virulence également. Il s’agit de marqueurs de virulence.</w:t>
      </w:r>
    </w:p>
    <w:p w:rsidR="00EE51DB" w:rsidRDefault="00EE51DB" w:rsidP="003A6819">
      <w:pPr>
        <w:spacing w:after="0"/>
        <w:jc w:val="both"/>
      </w:pPr>
    </w:p>
    <w:p w:rsidR="00EE51DB" w:rsidRDefault="00EE51DB" w:rsidP="003A6819">
      <w:pPr>
        <w:spacing w:after="0"/>
        <w:jc w:val="both"/>
      </w:pPr>
      <w:r>
        <w:t>-Impact du changement morphologique.</w:t>
      </w:r>
    </w:p>
    <w:p w:rsidR="00EE51DB" w:rsidRDefault="00EE51DB" w:rsidP="003A6819">
      <w:pPr>
        <w:spacing w:after="0"/>
        <w:jc w:val="both"/>
      </w:pPr>
      <w:r>
        <w:t>-la majorité des pathogènes humains sont des saprophytes de l’environnement. S’ils sont capables de s’adapter aux mammifères c’est qu’ils arrivent à surmonter la pression de sélection comme la température, le CO</w:t>
      </w:r>
      <w:r>
        <w:rPr>
          <w:vertAlign w:val="subscript"/>
        </w:rPr>
        <w:t>2</w:t>
      </w:r>
      <w:r>
        <w:t xml:space="preserve">, carence en fer… </w:t>
      </w:r>
    </w:p>
    <w:p w:rsidR="00EE51DB" w:rsidRDefault="00EE51DB" w:rsidP="003A6819">
      <w:pPr>
        <w:spacing w:after="0"/>
        <w:jc w:val="both"/>
      </w:pPr>
      <w:r>
        <w:t>-Changer de forme et de taille est donc un avantage sélectif pour ces pathogènes.</w:t>
      </w:r>
    </w:p>
    <w:p w:rsidR="00EE51DB" w:rsidRDefault="00EE51DB" w:rsidP="003A6819">
      <w:pPr>
        <w:spacing w:after="0"/>
        <w:jc w:val="both"/>
      </w:pPr>
      <w:r>
        <w:t xml:space="preserve">-les spores sont de petites tailles et conviennent parfaitement au tractus respiratoire. </w:t>
      </w:r>
    </w:p>
    <w:p w:rsidR="00170DCD" w:rsidRDefault="00170DCD" w:rsidP="003A6819">
      <w:pPr>
        <w:spacing w:after="0"/>
        <w:jc w:val="both"/>
      </w:pPr>
      <w:r>
        <w:t>-Ex : chez Cryptococcus neoformans : spores géante qui passe de 5 à 100µm pendant les derniers stades de l’infection pulmonaires. Au début elles sont petites pour échapper au système immunitaire.</w:t>
      </w:r>
    </w:p>
    <w:p w:rsidR="00170DCD" w:rsidRDefault="00170DCD" w:rsidP="003A6819">
      <w:pPr>
        <w:spacing w:after="0"/>
        <w:jc w:val="both"/>
      </w:pPr>
      <w:r>
        <w:t>-Recherche de régulateurs : transition 25°C 37°C e blastomyces dermatidis qui est filamenteux à 25 et levure à 37. Ils ont fait une mutagénèse aléatoire et ont recherché grâce à ce système des régulateurs.</w:t>
      </w:r>
    </w:p>
    <w:p w:rsidR="00170DCD" w:rsidRDefault="00170DCD" w:rsidP="003A6819">
      <w:pPr>
        <w:spacing w:after="0"/>
        <w:jc w:val="both"/>
      </w:pPr>
      <w:r>
        <w:lastRenderedPageBreak/>
        <w:t>-On fait une fusion entre BAD et de la bétagal. A 37°C le gène BAD est surexprimé et la cellule est bleue. Si on est à 25°, BAD n’est pas exprimé, forme filamenteuse blanche.</w:t>
      </w:r>
    </w:p>
    <w:p w:rsidR="00170DCD" w:rsidRDefault="00170DCD" w:rsidP="003A6819">
      <w:pPr>
        <w:spacing w:after="0"/>
        <w:jc w:val="both"/>
      </w:pPr>
      <w:r>
        <w:t>-Ils ont cherché à 37°C des levures blanches pour voir quels sont les régulateurs.</w:t>
      </w:r>
    </w:p>
    <w:p w:rsidR="00170DCD" w:rsidRDefault="00170DCD" w:rsidP="003A6819">
      <w:pPr>
        <w:spacing w:after="0"/>
        <w:jc w:val="both"/>
      </w:pPr>
      <w:r>
        <w:t>-Cf diapo : mutant présente caractéristique propre. Croissance affaiblie, impossibilité de changer de forme</w:t>
      </w:r>
      <w:r w:rsidR="004C4A67">
        <w:t xml:space="preserve"> et composition différente en alpha glucane : paroi affecté.</w:t>
      </w:r>
    </w:p>
    <w:p w:rsidR="004C4A67" w:rsidRDefault="004C4A67" w:rsidP="003A6819">
      <w:pPr>
        <w:spacing w:after="0"/>
        <w:jc w:val="both"/>
      </w:pPr>
      <w:r>
        <w:sym w:font="Wingdings" w:char="F0E8"/>
      </w:r>
      <w:r>
        <w:t xml:space="preserve"> Si on infecte la transition, on altère la croissance.</w:t>
      </w:r>
    </w:p>
    <w:p w:rsidR="004C4A67" w:rsidRDefault="004C4A67" w:rsidP="003A6819">
      <w:pPr>
        <w:spacing w:after="0"/>
        <w:jc w:val="both"/>
      </w:pPr>
    </w:p>
    <w:p w:rsidR="004C4A67" w:rsidRDefault="004C4A67" w:rsidP="003A6819">
      <w:pPr>
        <w:spacing w:after="0"/>
        <w:jc w:val="both"/>
      </w:pPr>
      <w:r>
        <w:t>-Histidine kinase trouvée drk1, molécules impliquées chez les plantes, champignons, et bactéries. Rôle qui permet de capter l’extérieur. Il y a deux composants.</w:t>
      </w:r>
    </w:p>
    <w:p w:rsidR="004C4A67" w:rsidRDefault="004C4A67" w:rsidP="003A6819">
      <w:pPr>
        <w:spacing w:after="0"/>
        <w:jc w:val="both"/>
      </w:pPr>
      <w:r>
        <w:t>-On repère des domaines transmembranaires, une histidine et puis des domaines D classiques.</w:t>
      </w:r>
    </w:p>
    <w:p w:rsidR="004C4A67" w:rsidRDefault="004C4A67" w:rsidP="003A6819">
      <w:pPr>
        <w:spacing w:after="0"/>
        <w:jc w:val="both"/>
      </w:pPr>
      <w:r>
        <w:t>-L’ORF A complémente la fonction de l’histidine kinase Sln1 dans S.cerevisiae.</w:t>
      </w:r>
      <w:r>
        <w:br/>
        <w:t>-Le mutant drk1 : impossible de changer de forme.</w:t>
      </w:r>
      <w:r w:rsidR="003A5441">
        <w:t xml:space="preserve"> On remarque que les mutants drk1 ne sont pas pathogène.</w:t>
      </w:r>
    </w:p>
    <w:p w:rsidR="003A5441" w:rsidRDefault="003A5441" w:rsidP="003A6819">
      <w:pPr>
        <w:spacing w:after="0"/>
        <w:jc w:val="both"/>
      </w:pPr>
    </w:p>
    <w:p w:rsidR="003A5441" w:rsidRDefault="003A5441" w:rsidP="003A6819">
      <w:pPr>
        <w:spacing w:after="0"/>
        <w:jc w:val="both"/>
        <w:rPr>
          <w:u w:val="single"/>
        </w:rPr>
      </w:pPr>
      <w:r>
        <w:rPr>
          <w:u w:val="single"/>
        </w:rPr>
        <w:t>Adaptation à la température :</w:t>
      </w:r>
    </w:p>
    <w:p w:rsidR="003A5441" w:rsidRDefault="003A5441" w:rsidP="003A6819">
      <w:pPr>
        <w:spacing w:after="0"/>
        <w:jc w:val="both"/>
      </w:pPr>
      <w:r>
        <w:t>-Il existe des facteurs Hsp phosphorylé en réponse à cette température. Ils se lient aux HSE localisé dur les chromosomes. Permet l’expression de protéines chaperonnes qui vont pouvoir participer au refolding des protéines partiellement dénaturées par la chaleur.</w:t>
      </w:r>
    </w:p>
    <w:p w:rsidR="003A5441" w:rsidRDefault="003A5441" w:rsidP="003A6819">
      <w:pPr>
        <w:spacing w:after="0"/>
        <w:jc w:val="both"/>
      </w:pPr>
      <w:r>
        <w:t>-Le second signal est  la localisation de ces protéines mal conformées dans des endroits précis. Cette localisation va induire la transduction d’un signal.</w:t>
      </w:r>
    </w:p>
    <w:p w:rsidR="003A5441" w:rsidRDefault="003A5441" w:rsidP="003A6819">
      <w:pPr>
        <w:spacing w:after="0"/>
        <w:jc w:val="both"/>
      </w:pPr>
      <w:r>
        <w:t>-Autre élément : la fluidité de la membrane plasmique est affectée par la température.</w:t>
      </w:r>
    </w:p>
    <w:p w:rsidR="003A5441" w:rsidRDefault="003A5441" w:rsidP="003A6819">
      <w:pPr>
        <w:spacing w:after="0"/>
        <w:jc w:val="both"/>
      </w:pPr>
      <w:r>
        <w:t>-Dernier élément : les ARN qui jouerait un rôle de thermomètre. Structures qui se mettent en place sur des ARNs ça empêcherait la fixation de facteur tels que les ribosomes. A température élevée, on aurait un changement de conformation qui libèrerait les structures activant la transcription de facteurs de résistance.</w:t>
      </w:r>
    </w:p>
    <w:p w:rsidR="00DE2E97" w:rsidRDefault="00DE2E97" w:rsidP="003A6819">
      <w:pPr>
        <w:spacing w:after="0"/>
        <w:jc w:val="both"/>
      </w:pPr>
    </w:p>
    <w:p w:rsidR="00DE2E97" w:rsidRDefault="00DE2E97" w:rsidP="003A6819">
      <w:pPr>
        <w:spacing w:after="0"/>
        <w:jc w:val="both"/>
        <w:rPr>
          <w:b/>
          <w:i/>
          <w:u w:val="single"/>
        </w:rPr>
      </w:pPr>
      <w:r>
        <w:rPr>
          <w:b/>
          <w:i/>
          <w:u w:val="single"/>
        </w:rPr>
        <w:t>Candida albicans.</w:t>
      </w:r>
    </w:p>
    <w:p w:rsidR="00DE2E97" w:rsidRDefault="00DE2E97" w:rsidP="003A6819">
      <w:pPr>
        <w:spacing w:after="0"/>
        <w:jc w:val="both"/>
      </w:pPr>
      <w:r>
        <w:t>-Il s’agit souvent d’infections nosocomiales avec une incidence relativement rare mais préoccupante en raison de la forte mortalité. Au cours de ces dernières années, la prévalence est en augmentation régulière, car l’accroissement de la population à risque est constant. C’est une rançon à payer des progrès de la médecine.</w:t>
      </w:r>
    </w:p>
    <w:p w:rsidR="00DE2E97" w:rsidRDefault="00DE2E97" w:rsidP="003A6819">
      <w:pPr>
        <w:spacing w:after="0"/>
        <w:jc w:val="both"/>
      </w:pPr>
      <w:r>
        <w:t>-Candida, est le 4° pathogène isolé dans le sang. On le place au-dessus des gram-.</w:t>
      </w:r>
    </w:p>
    <w:p w:rsidR="00DE2E97" w:rsidRDefault="00DE2E97" w:rsidP="003A6819">
      <w:pPr>
        <w:spacing w:after="0"/>
        <w:jc w:val="both"/>
      </w:pPr>
      <w:r>
        <w:t>-C’est un commensale en faible quantité.</w:t>
      </w:r>
    </w:p>
    <w:p w:rsidR="00DE2E97" w:rsidRDefault="00DE2E97" w:rsidP="003A6819">
      <w:pPr>
        <w:spacing w:after="0"/>
        <w:jc w:val="both"/>
      </w:pPr>
      <w:r>
        <w:t>-C’est un pathogène émergent majeur.</w:t>
      </w:r>
    </w:p>
    <w:p w:rsidR="00DE2E97" w:rsidRDefault="00DE2E97" w:rsidP="003A6819">
      <w:pPr>
        <w:spacing w:after="0"/>
        <w:jc w:val="both"/>
      </w:pPr>
      <w:r>
        <w:t>-Il faut qu’il y ait une contamination initiale qui survient dès les premières heures de vie. Il se trouve au niveau du tube digestif.</w:t>
      </w:r>
    </w:p>
    <w:p w:rsidR="00DE2E97" w:rsidRDefault="00DE2E97" w:rsidP="003A6819">
      <w:pPr>
        <w:spacing w:after="0"/>
        <w:jc w:val="both"/>
      </w:pPr>
      <w:r>
        <w:t xml:space="preserve">-On peut avoir des candidoses </w:t>
      </w:r>
      <w:r w:rsidRPr="00DE2E97">
        <w:rPr>
          <w:u w:val="single"/>
        </w:rPr>
        <w:t>superficielles</w:t>
      </w:r>
      <w:r>
        <w:t> : nouveau nés, personnes agées, prothèse dentaires. Locaux : transpiration, macération. Terrain : neutropénie, tumeur, SIDA. Due à des facteurs extrinsèques : antibuithérapie, rayons, etc.</w:t>
      </w:r>
    </w:p>
    <w:p w:rsidR="00DE2E97" w:rsidRDefault="00DE2E97" w:rsidP="003A6819">
      <w:pPr>
        <w:spacing w:after="0"/>
        <w:jc w:val="both"/>
      </w:pPr>
    </w:p>
    <w:p w:rsidR="00DE2E97" w:rsidRDefault="00DE2E97" w:rsidP="003A6819">
      <w:pPr>
        <w:spacing w:after="0"/>
        <w:jc w:val="both"/>
      </w:pPr>
      <w:r>
        <w:t xml:space="preserve">-On peut avoir des candidoses </w:t>
      </w:r>
      <w:r w:rsidRPr="00DE2E97">
        <w:rPr>
          <w:u w:val="single"/>
        </w:rPr>
        <w:t>profondes</w:t>
      </w:r>
      <w:r>
        <w:t> :</w:t>
      </w:r>
      <w:r w:rsidR="00DA6D27">
        <w:t xml:space="preserve"> avec un déséquilibre microbien, on va avoir multiplication des souches résistantes et colonisation intense de la sous muqueuse de candida.</w:t>
      </w:r>
    </w:p>
    <w:p w:rsidR="00DA6D27" w:rsidRDefault="00DA6D27" w:rsidP="003A6819">
      <w:pPr>
        <w:spacing w:after="0"/>
        <w:jc w:val="both"/>
      </w:pPr>
      <w:r>
        <w:t>-Suivi d’une modification physico chimiques et biologiques de l’épithélium.</w:t>
      </w:r>
    </w:p>
    <w:p w:rsidR="00DA6D27" w:rsidRDefault="00DA6D27" w:rsidP="003A6819">
      <w:pPr>
        <w:spacing w:after="0"/>
        <w:jc w:val="both"/>
      </w:pPr>
      <w:r>
        <w:t xml:space="preserve">-Expression de facteurs de virulence </w:t>
      </w:r>
      <w:r>
        <w:sym w:font="Wingdings" w:char="F0E0"/>
      </w:r>
      <w:r>
        <w:t xml:space="preserve"> candidose intestinale</w:t>
      </w:r>
      <w:r>
        <w:sym w:font="Wingdings" w:char="F0E0"/>
      </w:r>
      <w:r>
        <w:t xml:space="preserve"> dissémination possible</w:t>
      </w:r>
      <w:r>
        <w:sym w:font="Wingdings" w:char="F0E0"/>
      </w:r>
      <w:r>
        <w:t xml:space="preserve"> Candidose invasive.</w:t>
      </w:r>
    </w:p>
    <w:p w:rsidR="00DA6D27" w:rsidRDefault="00DA6D27" w:rsidP="003A6819">
      <w:pPr>
        <w:spacing w:after="0"/>
        <w:jc w:val="both"/>
      </w:pPr>
      <w:r>
        <w:lastRenderedPageBreak/>
        <w:t>-Si on a une contamination par cathéter pas besoin de contamination intestinale on passe direct à la candidose invasive.</w:t>
      </w:r>
    </w:p>
    <w:p w:rsidR="00DA6D27" w:rsidRDefault="00DA6D27" w:rsidP="003A6819">
      <w:pPr>
        <w:spacing w:after="0"/>
        <w:jc w:val="both"/>
      </w:pPr>
    </w:p>
    <w:p w:rsidR="00D116D6" w:rsidRDefault="00D116D6" w:rsidP="003A6819">
      <w:pPr>
        <w:spacing w:after="0"/>
        <w:jc w:val="both"/>
      </w:pPr>
      <w:r>
        <w:t>-Transition white/opaque : la souche WO-1 est capable d’effectuer cette transition. Elle s’effectue entre un phénotype à cellules rondes et des colonies blanches et bombées vers des cellules en bâtonnets produisant des colonies plates et grises. Phénomène réversible. La transition impacte le comportement pathogène et la reproduction sexuée. La sensibilité à la température sera différente. Il y a 450 dont l’expression serait différente d’une forme à l’autre.</w:t>
      </w:r>
    </w:p>
    <w:p w:rsidR="00D116D6" w:rsidRDefault="00D116D6" w:rsidP="003A6819">
      <w:pPr>
        <w:spacing w:after="0"/>
        <w:jc w:val="both"/>
      </w:pPr>
      <w:r>
        <w:t xml:space="preserve">-Par exemple : il a été remarqué que les white sécrète un chimio rétractant pour les leucocytes et seraient plus pathogènes dans un modèle souris. Par contre les colonies opaques seraient plus pathogènes dans un modèle cutané. </w:t>
      </w:r>
    </w:p>
    <w:p w:rsidR="00D116D6" w:rsidRDefault="00D116D6" w:rsidP="003A6819">
      <w:pPr>
        <w:spacing w:after="0"/>
        <w:jc w:val="both"/>
      </w:pPr>
      <w:r>
        <w:t>-Les facteurs influant le phénotype sont la température, le pH et la densité cellulaire.</w:t>
      </w:r>
    </w:p>
    <w:p w:rsidR="00AE5B29" w:rsidRDefault="00AE5B29" w:rsidP="003A6819">
      <w:pPr>
        <w:spacing w:after="0"/>
        <w:jc w:val="both"/>
      </w:pPr>
    </w:p>
    <w:p w:rsidR="00AE5B29" w:rsidRDefault="00AE5B29" w:rsidP="003A6819">
      <w:pPr>
        <w:spacing w:after="0"/>
        <w:jc w:val="both"/>
      </w:pPr>
      <w:r>
        <w:t>-la stratégie développée par Candida :</w:t>
      </w:r>
    </w:p>
    <w:p w:rsidR="00AE5B29" w:rsidRDefault="00AE5B29" w:rsidP="003A6819">
      <w:pPr>
        <w:spacing w:after="0"/>
        <w:jc w:val="both"/>
      </w:pPr>
      <w:r>
        <w:t>-Expression de facteurs d’adaptation et de virulence dû</w:t>
      </w:r>
      <w:r w:rsidR="008D4A7B">
        <w:t>s</w:t>
      </w:r>
      <w:r>
        <w:t xml:space="preserve"> en partie à sa plasticité génotypique et phénotypique.</w:t>
      </w:r>
    </w:p>
    <w:p w:rsidR="00AE5B29" w:rsidRDefault="00AE5B29" w:rsidP="003A6819">
      <w:pPr>
        <w:spacing w:after="0"/>
        <w:jc w:val="both"/>
      </w:pPr>
      <w:r>
        <w:t>-on a une variabilité génétique : on a 8 chromosomes plus un chromosome R avec une grande variété gé</w:t>
      </w:r>
      <w:r w:rsidR="00E5476E">
        <w:t>notypique due à des régions sub-</w:t>
      </w:r>
      <w:r>
        <w:t>télomérique très variable. Présence d’un code génétique alternatif où le codon CUG est traduit en Sérine au lieu de la leucine.</w:t>
      </w:r>
    </w:p>
    <w:p w:rsidR="00E5476E" w:rsidRDefault="00E5476E" w:rsidP="003A6819">
      <w:pPr>
        <w:spacing w:after="0"/>
        <w:jc w:val="both"/>
      </w:pPr>
      <w:r>
        <w:t>-Variabilité phénotypique : changement de morphologie.</w:t>
      </w:r>
    </w:p>
    <w:p w:rsidR="00E5476E" w:rsidRDefault="00E5476E" w:rsidP="003A6819">
      <w:pPr>
        <w:spacing w:after="0"/>
        <w:jc w:val="both"/>
      </w:pPr>
      <w:r>
        <w:t>-Variabilité biologique : profils de sécrétion enzymatique différents selon les souches.</w:t>
      </w:r>
    </w:p>
    <w:p w:rsidR="00E5476E" w:rsidRDefault="00E5476E" w:rsidP="003A6819">
      <w:pPr>
        <w:spacing w:after="0"/>
        <w:jc w:val="both"/>
      </w:pPr>
      <w:r>
        <w:t>-Variabilité antigénique.</w:t>
      </w:r>
    </w:p>
    <w:p w:rsidR="00E5476E" w:rsidRDefault="00E5476E" w:rsidP="003A6819">
      <w:pPr>
        <w:spacing w:after="0"/>
        <w:jc w:val="both"/>
      </w:pPr>
      <w:r>
        <w:t>-De plus, ce pathogène sécrète un grand arsenal de molécule potentialisant le pouvoir pathogène (cf diapo).</w:t>
      </w:r>
      <w:r w:rsidR="00AC526A">
        <w:t xml:space="preserve"> </w:t>
      </w:r>
    </w:p>
    <w:p w:rsidR="00AC526A" w:rsidRDefault="00AC526A" w:rsidP="003A6819">
      <w:pPr>
        <w:spacing w:after="0"/>
        <w:jc w:val="both"/>
      </w:pPr>
      <w:r>
        <w:t>-Enfin : capacité d’adhérer aux constituant de l’hôte.</w:t>
      </w:r>
    </w:p>
    <w:p w:rsidR="00E5476E" w:rsidRDefault="00E5476E" w:rsidP="003A6819">
      <w:pPr>
        <w:spacing w:after="0"/>
        <w:jc w:val="both"/>
      </w:pPr>
    </w:p>
    <w:p w:rsidR="00AC526A" w:rsidRDefault="00AC526A" w:rsidP="003A6819">
      <w:pPr>
        <w:spacing w:after="0"/>
        <w:jc w:val="both"/>
      </w:pPr>
      <w:r>
        <w:rPr>
          <w:u w:val="single"/>
        </w:rPr>
        <w:t>Protéinase de Candida :</w:t>
      </w:r>
    </w:p>
    <w:p w:rsidR="00AC526A" w:rsidRDefault="00AC526A" w:rsidP="003A6819">
      <w:pPr>
        <w:spacing w:after="0"/>
        <w:jc w:val="both"/>
      </w:pPr>
      <w:r>
        <w:t>-On les appelle SAP 1 à 10 (secredted aspartic proteinase).</w:t>
      </w:r>
    </w:p>
    <w:p w:rsidR="00AC526A" w:rsidRDefault="00AC526A" w:rsidP="003A6819">
      <w:pPr>
        <w:spacing w:after="0"/>
        <w:jc w:val="both"/>
      </w:pPr>
      <w:r>
        <w:t>-Surexprimées par la forme mycélienne. Action sur le collagène, la kératine etc.</w:t>
      </w:r>
    </w:p>
    <w:p w:rsidR="00AC526A" w:rsidRDefault="00AC526A" w:rsidP="003A6819">
      <w:pPr>
        <w:spacing w:after="0"/>
        <w:jc w:val="both"/>
      </w:pPr>
      <w:r>
        <w:t>-Elles vont permettre l’adhérence et agir dans de nombreux processus inflammatoire.</w:t>
      </w:r>
    </w:p>
    <w:p w:rsidR="00AC526A" w:rsidRDefault="00AC526A" w:rsidP="003A6819">
      <w:pPr>
        <w:spacing w:after="0"/>
        <w:jc w:val="both"/>
      </w:pPr>
      <w:r>
        <w:t>-Corrélation entre production des SAPs et la virulence.</w:t>
      </w:r>
    </w:p>
    <w:p w:rsidR="00AC526A" w:rsidRDefault="00AC526A" w:rsidP="003A6819">
      <w:pPr>
        <w:spacing w:after="0"/>
        <w:jc w:val="both"/>
      </w:pPr>
      <w:r>
        <w:t>-De plus, on a une spécificité de substrat pour des protéines humaines.</w:t>
      </w:r>
    </w:p>
    <w:p w:rsidR="00AC526A" w:rsidRDefault="00AC526A" w:rsidP="003A6819">
      <w:pPr>
        <w:spacing w:after="0"/>
        <w:jc w:val="both"/>
      </w:pPr>
      <w:r>
        <w:t>-Association SAPs/ autres facteurs de virulence.</w:t>
      </w:r>
    </w:p>
    <w:p w:rsidR="00AC526A" w:rsidRDefault="00AC526A" w:rsidP="003A6819">
      <w:pPr>
        <w:spacing w:after="0"/>
        <w:jc w:val="both"/>
      </w:pPr>
      <w:r>
        <w:t>-Réponse du système immunitaire à la production des SaP lors de l’infection. Expression des gènes au cours de l’infection, le rest cf diapo.</w:t>
      </w:r>
    </w:p>
    <w:p w:rsidR="00033F63" w:rsidRDefault="00033F63" w:rsidP="003A6819">
      <w:pPr>
        <w:spacing w:after="0"/>
        <w:jc w:val="both"/>
      </w:pPr>
    </w:p>
    <w:p w:rsidR="00033F63" w:rsidRDefault="00033F63" w:rsidP="003A6819">
      <w:pPr>
        <w:spacing w:after="0"/>
        <w:jc w:val="both"/>
      </w:pPr>
      <w:r>
        <w:t>-Rôle de SAP8 dans la signalisation et l’expression des facteurs de virulence. Chez Candida, on a 4 MAPK impliquées dans des voies. Ils sont partis par l’étude de Msb2. Les mutants Msb2 avaient des défauts dans le biofilm de candida donc dans un facteur de virulence. Ils ont observé que cette mucine régule la voie MAPK de Cek1. On  plus de phosphorylation de cette MAPK.</w:t>
      </w:r>
    </w:p>
    <w:p w:rsidR="00033F63" w:rsidRDefault="00033F63" w:rsidP="003A6819">
      <w:pPr>
        <w:spacing w:after="0"/>
        <w:jc w:val="both"/>
      </w:pPr>
      <w:r>
        <w:t>-Ces mucines sont des protéines avec une région extracellulaire avec 4 domaines hyper glycosylés. Et un petit domaine cytoplasmique.</w:t>
      </w:r>
    </w:p>
    <w:p w:rsidR="00033F63" w:rsidRDefault="00033F63" w:rsidP="003A6819">
      <w:pPr>
        <w:spacing w:after="0"/>
        <w:jc w:val="both"/>
      </w:pPr>
      <w:r>
        <w:t>-pepstatine : inhibiteur des protéases.</w:t>
      </w:r>
      <w:r w:rsidR="008F32DE">
        <w:t xml:space="preserve"> On doit donc avoir action d’une protéase qui libère le domaine extracellulaire de Msb2 entrainant la phosphorylation de Cek1.</w:t>
      </w:r>
    </w:p>
    <w:p w:rsidR="008F32DE" w:rsidRPr="00AC526A" w:rsidRDefault="00067AB9" w:rsidP="003A6819">
      <w:pPr>
        <w:spacing w:after="0"/>
        <w:jc w:val="both"/>
      </w:pPr>
      <w:r>
        <w:t>-La protéase ciblée est Sap8 qui a ce rôle de protéase sur Msb2.</w:t>
      </w:r>
    </w:p>
    <w:p w:rsidR="00DE2E97" w:rsidRDefault="001F1733" w:rsidP="003A6819">
      <w:pPr>
        <w:spacing w:after="0"/>
        <w:jc w:val="both"/>
        <w:rPr>
          <w:u w:val="single"/>
        </w:rPr>
      </w:pPr>
      <w:r>
        <w:rPr>
          <w:u w:val="single"/>
        </w:rPr>
        <w:lastRenderedPageBreak/>
        <w:t>L’adhésion de candida :</w:t>
      </w:r>
    </w:p>
    <w:p w:rsidR="001F1733" w:rsidRDefault="001F1733" w:rsidP="003A6819">
      <w:pPr>
        <w:spacing w:after="0"/>
        <w:jc w:val="both"/>
      </w:pPr>
      <w:r>
        <w:t>-indispensable pour lutter contre le flux, pour coloniser les organes profonds, pour les dispositifs introduits dans l’organisme et interagir avec les composants solubles de l’hôte.</w:t>
      </w:r>
    </w:p>
    <w:p w:rsidR="001F1733" w:rsidRDefault="001F1733" w:rsidP="003A6819">
      <w:pPr>
        <w:spacing w:after="0"/>
        <w:jc w:val="both"/>
      </w:pPr>
      <w:r>
        <w:t>-La capacité d’adhérence est espèce et souche spécifique. Sur 100 blastospores : 25 se fixent sur les cellules épithéliales si proviennent de souches infectieuses. 1 à 7 se fixent si souche isol »e de patient en situation commensale. –&gt; Modifications possibles par les antigogiques, espèce spécifique (résistance). Intervention de certaines bactéries à lectines de surface comme système d’ancrage.</w:t>
      </w:r>
    </w:p>
    <w:p w:rsidR="001F1733" w:rsidRDefault="001F1733" w:rsidP="003A6819">
      <w:pPr>
        <w:spacing w:after="0"/>
        <w:jc w:val="both"/>
      </w:pPr>
    </w:p>
    <w:p w:rsidR="001F1733" w:rsidRDefault="001F1733" w:rsidP="003A6819">
      <w:pPr>
        <w:spacing w:after="0"/>
        <w:jc w:val="both"/>
      </w:pPr>
      <w:r>
        <w:t>-Les éléments impliqués :</w:t>
      </w:r>
    </w:p>
    <w:p w:rsidR="001F1733" w:rsidRDefault="001F1733" w:rsidP="003A6819">
      <w:pPr>
        <w:spacing w:after="0"/>
        <w:jc w:val="both"/>
      </w:pPr>
      <w:r>
        <w:t>-On peut avoir des adhésion de type non spécifique : forces électro statiques, interaction hydrophobes…</w:t>
      </w:r>
    </w:p>
    <w:p w:rsidR="001F1733" w:rsidRDefault="001F1733" w:rsidP="003A6819">
      <w:pPr>
        <w:spacing w:after="0"/>
        <w:jc w:val="both"/>
      </w:pPr>
      <w:r>
        <w:t>-On peut avoir des adhésions spécifiques, par le biais d’</w:t>
      </w:r>
      <w:r>
        <w:rPr>
          <w:u w:val="single"/>
        </w:rPr>
        <w:t>adhésines</w:t>
      </w:r>
      <w:r>
        <w:t xml:space="preserve"> : soit la levure utilise une protéine ou une manno protéine de sa surface qui se liera à une protéine de la cellule hôte. Ou alors la levure va se servir d’une glycoprotéine, une </w:t>
      </w:r>
      <w:r>
        <w:rPr>
          <w:u w:val="single"/>
        </w:rPr>
        <w:t>lectine</w:t>
      </w:r>
      <w:r>
        <w:t xml:space="preserve"> qui se liera à un sucre de la cellule hôte.</w:t>
      </w:r>
    </w:p>
    <w:p w:rsidR="001F1733" w:rsidRDefault="001F1733" w:rsidP="003A6819">
      <w:pPr>
        <w:spacing w:after="0"/>
        <w:jc w:val="both"/>
      </w:pPr>
      <w:r>
        <w:t>-Glycosphyngolipides faisant intervenir des éléments fongique de type fimbriae.</w:t>
      </w:r>
    </w:p>
    <w:p w:rsidR="001F1733" w:rsidRDefault="001F1733" w:rsidP="003A6819">
      <w:pPr>
        <w:spacing w:after="0"/>
        <w:jc w:val="both"/>
      </w:pPr>
      <w:r>
        <w:t>-Des composants de nature lipidique</w:t>
      </w:r>
    </w:p>
    <w:p w:rsidR="001F1733" w:rsidRDefault="001F1733" w:rsidP="003A6819">
      <w:pPr>
        <w:spacing w:after="0"/>
        <w:jc w:val="both"/>
      </w:pPr>
      <w:r>
        <w:t>-La chitine pourrait être associée dans l’adhésion</w:t>
      </w:r>
    </w:p>
    <w:p w:rsidR="001F1733" w:rsidRDefault="001F1733" w:rsidP="003A6819">
      <w:pPr>
        <w:spacing w:after="0"/>
        <w:jc w:val="both"/>
      </w:pPr>
      <w:r>
        <w:t xml:space="preserve">-Principalement : </w:t>
      </w:r>
      <w:r>
        <w:rPr>
          <w:b/>
        </w:rPr>
        <w:t>mannoprotéines de surface</w:t>
      </w:r>
      <w:r>
        <w:t>.</w:t>
      </w:r>
    </w:p>
    <w:p w:rsidR="001F1733" w:rsidRDefault="001F1733" w:rsidP="003A6819">
      <w:pPr>
        <w:spacing w:after="0"/>
        <w:jc w:val="both"/>
      </w:pPr>
      <w:r>
        <w:tab/>
        <w:t>-&gt;Peuvent avoir des activité de type lectine vis-à-vis des résidus sucrés ou des activités de type intégrine (ex : Candida glabrata et EPA1). EPA1 reconnait le lactose et le N-acétylglucosamine présent sur les cellules épithéliales. Un mutant EPA1 : diminution de 90% de l’adhérence. Si on met ça sur S.cerevisiae : il adhère alors qu’à l’état sauvage il n’adhère pas. ON ne voit pas de différence avec ce modèle EPA1 sur modèle souris.</w:t>
      </w:r>
    </w:p>
    <w:p w:rsidR="008C53D3" w:rsidRDefault="008C53D3" w:rsidP="003A6819">
      <w:pPr>
        <w:spacing w:after="0"/>
        <w:jc w:val="both"/>
      </w:pPr>
      <w:r>
        <w:t>-Selon le stade de l’infection de la levure, on a expression de différents facteurs de virulence. La colonisation de la levure se fait sur des cellules épithéliales, à ce moment les adhésines, les enzymes hydrolytiques sont exprimés, l’hyphe va se former et on aura un switch du phénotype.</w:t>
      </w:r>
    </w:p>
    <w:p w:rsidR="008C53D3" w:rsidRDefault="008C53D3" w:rsidP="003A6819">
      <w:pPr>
        <w:spacing w:after="0"/>
        <w:jc w:val="both"/>
      </w:pPr>
      <w:r>
        <w:t>-Infection superficielles : dégradation de l’épithélium et formation de l’hyphe (toujours)</w:t>
      </w:r>
    </w:p>
    <w:p w:rsidR="008C53D3" w:rsidRDefault="008C53D3" w:rsidP="003A6819">
      <w:pPr>
        <w:spacing w:after="0"/>
        <w:jc w:val="both"/>
      </w:pPr>
      <w:r>
        <w:t>-Infection profonde : c’est à cette étape que le pronostique devient grave : sécrétion d’enzyme et production d’immuno modulateur.</w:t>
      </w:r>
    </w:p>
    <w:p w:rsidR="008C53D3" w:rsidRDefault="008C53D3" w:rsidP="003A6819">
      <w:pPr>
        <w:spacing w:after="0"/>
        <w:jc w:val="both"/>
      </w:pPr>
      <w:r>
        <w:t xml:space="preserve">-Stade 4 : infectieux disséminée de par le système vasculaire : infection d’autres tissus de l’hôte. </w:t>
      </w:r>
    </w:p>
    <w:p w:rsidR="008C53D3" w:rsidRDefault="008C53D3" w:rsidP="003A6819">
      <w:pPr>
        <w:spacing w:after="0"/>
        <w:jc w:val="both"/>
      </w:pPr>
      <w:r>
        <w:sym w:font="Wingdings" w:char="F0E0"/>
      </w:r>
      <w:r>
        <w:t xml:space="preserve"> Les adhésines sont donc exprimées durant la phase précoce de l’infection.</w:t>
      </w:r>
    </w:p>
    <w:p w:rsidR="008C53D3" w:rsidRDefault="008C53D3" w:rsidP="003A6819">
      <w:pPr>
        <w:spacing w:after="0"/>
        <w:jc w:val="both"/>
      </w:pPr>
    </w:p>
    <w:p w:rsidR="008C53D3" w:rsidRDefault="008C53D3" w:rsidP="003A6819">
      <w:pPr>
        <w:spacing w:after="0"/>
        <w:jc w:val="both"/>
      </w:pPr>
      <w:r>
        <w:t xml:space="preserve">-Grâce aux adhésines, on aura adhésion aux cellules endothéliales vasculaires. </w:t>
      </w:r>
    </w:p>
    <w:p w:rsidR="008C53D3" w:rsidRDefault="008C53D3" w:rsidP="003A6819">
      <w:pPr>
        <w:spacing w:after="0"/>
        <w:jc w:val="both"/>
      </w:pPr>
      <w:r>
        <w:t>-Opsonisation et phagocytose.</w:t>
      </w:r>
    </w:p>
    <w:p w:rsidR="008C53D3" w:rsidRDefault="008C53D3" w:rsidP="003A6819">
      <w:pPr>
        <w:spacing w:after="0"/>
        <w:jc w:val="both"/>
      </w:pPr>
      <w:r>
        <w:t>-La fixation est suivie par l’internalisation -&gt; pénétration préférentielle pour les cellules avec tube germinatif.</w:t>
      </w:r>
    </w:p>
    <w:p w:rsidR="008C53D3" w:rsidRDefault="008C53D3" w:rsidP="003A6819">
      <w:pPr>
        <w:spacing w:after="0"/>
        <w:jc w:val="both"/>
      </w:pPr>
      <w:r>
        <w:tab/>
        <w:t>-&gt; Evènement dépendant des cellules hôtes</w:t>
      </w:r>
    </w:p>
    <w:p w:rsidR="008C53D3" w:rsidRDefault="008C53D3" w:rsidP="003A6819">
      <w:pPr>
        <w:spacing w:after="0"/>
        <w:jc w:val="both"/>
      </w:pPr>
      <w:r>
        <w:tab/>
        <w:t>-&gt;Fonctionne avec cellules fongiques tuées, inhibition avec cytocalasine B (dépolymérisation de l’actine). Si on inhibe, on aura plus internalisation.</w:t>
      </w:r>
    </w:p>
    <w:p w:rsidR="008C53D3" w:rsidRDefault="008C53D3" w:rsidP="003A6819">
      <w:pPr>
        <w:spacing w:after="0"/>
        <w:jc w:val="both"/>
      </w:pPr>
      <w:r>
        <w:t>-</w:t>
      </w:r>
    </w:p>
    <w:p w:rsidR="008C53D3" w:rsidRDefault="008C53D3" w:rsidP="003A6819">
      <w:pPr>
        <w:spacing w:after="0"/>
        <w:jc w:val="both"/>
      </w:pPr>
      <w:r>
        <w:t>-Interaction avec les cellules sanguines et protéines plasmatiques : la levure interagit avec le fibrinogène et la fibronectine, interagissent avec toutes les cellules sanguines, même les plaquettes.</w:t>
      </w:r>
    </w:p>
    <w:p w:rsidR="008C53D3" w:rsidRDefault="008C53D3" w:rsidP="003A6819">
      <w:pPr>
        <w:spacing w:after="0"/>
        <w:jc w:val="both"/>
      </w:pPr>
      <w:r>
        <w:tab/>
      </w:r>
      <w:r>
        <w:sym w:font="Wingdings" w:char="F0E0"/>
      </w:r>
      <w:r>
        <w:t xml:space="preserve"> Passage dans les tissus périvasculaires, dissémination par voie sanguine.</w:t>
      </w:r>
    </w:p>
    <w:p w:rsidR="008C53D3" w:rsidRDefault="008C53D3" w:rsidP="008C53D3">
      <w:pPr>
        <w:spacing w:after="0"/>
        <w:jc w:val="both"/>
      </w:pPr>
      <w:r>
        <w:tab/>
      </w:r>
      <w:r>
        <w:sym w:font="Wingdings" w:char="F0E0"/>
      </w:r>
      <w:r>
        <w:t>Si internalisation, dégradation de l’endothliuume néovascularisation à la périphérie des abcès fongiques, colonisation  des organes.</w:t>
      </w:r>
    </w:p>
    <w:p w:rsidR="008C53D3" w:rsidRDefault="0083757C" w:rsidP="008C53D3">
      <w:pPr>
        <w:spacing w:after="0"/>
        <w:jc w:val="both"/>
      </w:pPr>
      <w:r>
        <w:lastRenderedPageBreak/>
        <w:t xml:space="preserve">-Adhésines </w:t>
      </w:r>
      <w:r>
        <w:rPr>
          <w:b/>
        </w:rPr>
        <w:t>HWP1, ALS1, ALS3</w:t>
      </w:r>
      <w:r>
        <w:t xml:space="preserve"> sont décrites chez Candida -&gt; glycoprotéies de surface (cf biofilms)</w:t>
      </w:r>
    </w:p>
    <w:p w:rsidR="0083757C" w:rsidRDefault="0083757C" w:rsidP="008C53D3">
      <w:pPr>
        <w:spacing w:after="0"/>
        <w:jc w:val="both"/>
      </w:pPr>
      <w:r>
        <w:t>-Reconnaissance des cellules endothéliales implique des récepteurs de type CR3 : famille proche des béta-intégrines humaines.</w:t>
      </w:r>
    </w:p>
    <w:p w:rsidR="0083757C" w:rsidRDefault="0083757C" w:rsidP="008C53D3">
      <w:pPr>
        <w:spacing w:after="0"/>
        <w:jc w:val="both"/>
      </w:pPr>
      <w:r>
        <w:t>-Adhérence des candida bloquée par des résidus RGD :en travaux.</w:t>
      </w:r>
    </w:p>
    <w:p w:rsidR="0083757C" w:rsidRDefault="0083757C" w:rsidP="008C53D3">
      <w:pPr>
        <w:spacing w:after="0"/>
        <w:jc w:val="both"/>
      </w:pPr>
    </w:p>
    <w:p w:rsidR="0083757C" w:rsidRDefault="0083757C" w:rsidP="008C53D3">
      <w:pPr>
        <w:spacing w:after="0"/>
        <w:jc w:val="both"/>
      </w:pPr>
      <w:r>
        <w:t>-Adhérence au niveau des muqueuses, maintien de l’état commensal. Installation de candidose si muqueuse modifiée.</w:t>
      </w:r>
    </w:p>
    <w:p w:rsidR="0083757C" w:rsidRDefault="0083757C" w:rsidP="008C53D3">
      <w:pPr>
        <w:spacing w:after="0"/>
        <w:jc w:val="both"/>
      </w:pPr>
      <w:r>
        <w:t>-L’adhésion de la levure sur la cellule va entrainer l’induction d’un signal. Ce signal entraine la synthèse d’une glycoprotéine antifongique par la cellule hôte. Cette protéine va inhiber la croissance de la levure. On aura le maintien de l’état commensal de cette flore.</w:t>
      </w:r>
    </w:p>
    <w:p w:rsidR="0083757C" w:rsidRDefault="0083757C" w:rsidP="008C53D3">
      <w:pPr>
        <w:spacing w:after="0"/>
        <w:jc w:val="both"/>
      </w:pPr>
      <w:r>
        <w:t>-Si on a un traitement aux œstrogènes on a inhibition du signal. On n’aura pas de production de protéines antifongiques pouvant entrainer éventuellement une candidose.</w:t>
      </w:r>
    </w:p>
    <w:p w:rsidR="0083757C" w:rsidRDefault="0083757C" w:rsidP="008C53D3">
      <w:pPr>
        <w:spacing w:after="0"/>
        <w:jc w:val="both"/>
      </w:pPr>
    </w:p>
    <w:p w:rsidR="0083757C" w:rsidRDefault="0083757C" w:rsidP="008C53D3">
      <w:pPr>
        <w:spacing w:after="0"/>
        <w:jc w:val="both"/>
        <w:rPr>
          <w:u w:val="single"/>
          <w:vertAlign w:val="subscript"/>
        </w:rPr>
      </w:pPr>
      <w:r>
        <w:rPr>
          <w:u w:val="single"/>
        </w:rPr>
        <w:t>Le sensing du CO</w:t>
      </w:r>
      <w:r>
        <w:rPr>
          <w:u w:val="single"/>
          <w:vertAlign w:val="subscript"/>
        </w:rPr>
        <w:t>2 :</w:t>
      </w:r>
    </w:p>
    <w:p w:rsidR="0083757C" w:rsidRDefault="0083757C" w:rsidP="008C53D3">
      <w:pPr>
        <w:spacing w:after="0"/>
        <w:jc w:val="both"/>
      </w:pPr>
      <w:r>
        <w:t>-Candida albicans sera confronté à 0,033% de CO</w:t>
      </w:r>
      <w:r>
        <w:rPr>
          <w:vertAlign w:val="subscript"/>
        </w:rPr>
        <w:t>2</w:t>
      </w:r>
      <w:r>
        <w:t xml:space="preserve"> dans l’atmosphère. Dans le sang humain, il y a 150 fois plus de CO</w:t>
      </w:r>
      <w:r>
        <w:rPr>
          <w:vertAlign w:val="subscript"/>
        </w:rPr>
        <w:t>2</w:t>
      </w:r>
      <w:r>
        <w:t>.</w:t>
      </w:r>
    </w:p>
    <w:p w:rsidR="0083757C" w:rsidRDefault="0083757C" w:rsidP="008C53D3">
      <w:pPr>
        <w:spacing w:after="0"/>
        <w:jc w:val="both"/>
      </w:pPr>
      <w:r>
        <w:t>-La levure possède une anhydrase carbonique qui permet de gérer le CO2 quand il est sous sa forme hydratée H</w:t>
      </w:r>
      <w:r>
        <w:rPr>
          <w:vertAlign w:val="subscript"/>
        </w:rPr>
        <w:t>2</w:t>
      </w:r>
      <w:r>
        <w:t>CO</w:t>
      </w:r>
      <w:r>
        <w:rPr>
          <w:vertAlign w:val="subscript"/>
        </w:rPr>
        <w:t>3</w:t>
      </w:r>
      <w:r>
        <w:t>.</w:t>
      </w:r>
    </w:p>
    <w:p w:rsidR="004B585B" w:rsidRDefault="004B585B" w:rsidP="008C53D3">
      <w:pPr>
        <w:spacing w:after="0"/>
        <w:jc w:val="both"/>
      </w:pPr>
      <w:r>
        <w:t>-L’adénylate cyclase est nécessaire pour gérer le CO</w:t>
      </w:r>
      <w:r>
        <w:rPr>
          <w:vertAlign w:val="subscript"/>
        </w:rPr>
        <w:t>2</w:t>
      </w:r>
      <w:r>
        <w:t>. Il existe tout un groupe parmi les adénylates cyclases qui est stimulé par le CO</w:t>
      </w:r>
      <w:r>
        <w:rPr>
          <w:vertAlign w:val="subscript"/>
        </w:rPr>
        <w:t>2</w:t>
      </w:r>
      <w:r>
        <w:t xml:space="preserve">. </w:t>
      </w:r>
    </w:p>
    <w:p w:rsidR="004B585B" w:rsidRDefault="004B585B" w:rsidP="008C53D3">
      <w:pPr>
        <w:spacing w:after="0"/>
        <w:jc w:val="both"/>
      </w:pPr>
      <w:r>
        <w:t>-Rôle de NCE103, l’anhydrase carbonique, nécessaire pour la croissance et infection à l’air atmosphérique, mais pas si CO</w:t>
      </w:r>
      <w:r>
        <w:rPr>
          <w:vertAlign w:val="subscript"/>
        </w:rPr>
        <w:t>2</w:t>
      </w:r>
      <w:r>
        <w:t>&gt; à 0,5%</w:t>
      </w:r>
    </w:p>
    <w:p w:rsidR="004B585B" w:rsidRDefault="004B585B" w:rsidP="008C53D3">
      <w:pPr>
        <w:spacing w:after="0"/>
        <w:jc w:val="both"/>
      </w:pPr>
      <w:r>
        <w:tab/>
        <w:t>-Mutant de délétion : phénotype perturbé, pouvoir infectieux inchangé mais perturbé sur l’épithélium humain reconstitué et exposé aux teneurs de l’air ambiant.</w:t>
      </w:r>
    </w:p>
    <w:p w:rsidR="004B585B" w:rsidRDefault="004B585B" w:rsidP="008C53D3">
      <w:pPr>
        <w:spacing w:after="0"/>
        <w:jc w:val="both"/>
      </w:pPr>
      <w:r>
        <w:t>-&gt; l’hôte compenserait en fournissant du CO</w:t>
      </w:r>
      <w:r>
        <w:rPr>
          <w:vertAlign w:val="subscript"/>
        </w:rPr>
        <w:t>2</w:t>
      </w:r>
    </w:p>
    <w:p w:rsidR="004B585B" w:rsidRDefault="004B585B" w:rsidP="008C53D3">
      <w:pPr>
        <w:spacing w:after="0"/>
        <w:jc w:val="both"/>
      </w:pPr>
      <w:r>
        <w:t>-&gt; L’ajout de CO</w:t>
      </w:r>
      <w:r>
        <w:rPr>
          <w:vertAlign w:val="subscript"/>
        </w:rPr>
        <w:t>2</w:t>
      </w:r>
      <w:r>
        <w:t xml:space="preserve"> compense la mutation.</w:t>
      </w:r>
    </w:p>
    <w:p w:rsidR="004B585B" w:rsidRDefault="004B585B" w:rsidP="008C53D3">
      <w:pPr>
        <w:spacing w:after="0"/>
        <w:jc w:val="both"/>
      </w:pPr>
    </w:p>
    <w:p w:rsidR="004B585B" w:rsidRDefault="004B585B" w:rsidP="008C53D3">
      <w:pPr>
        <w:spacing w:after="0"/>
        <w:jc w:val="both"/>
      </w:pPr>
      <w:r>
        <w:t>-On pense que le CO</w:t>
      </w:r>
      <w:r>
        <w:rPr>
          <w:vertAlign w:val="subscript"/>
        </w:rPr>
        <w:t>2</w:t>
      </w:r>
      <w:r>
        <w:t xml:space="preserve"> peut être transporté par des perméases d’ammonium, par des aquaporine ou alors par diffusion simple. Une fois dans la cellule, l’anhydrase carbonique en dimère va le convertir en acide carbonique.</w:t>
      </w:r>
    </w:p>
    <w:p w:rsidR="004B585B" w:rsidRDefault="004B585B" w:rsidP="008C53D3">
      <w:pPr>
        <w:spacing w:after="0"/>
        <w:jc w:val="both"/>
      </w:pPr>
      <w:r>
        <w:t>-On a donc activation de l’adénylate cyclase avec une trop forte concentration en acide carbonique ce qui entraine production de’AMPc responsable du changement morphologique de la levure.</w:t>
      </w:r>
    </w:p>
    <w:p w:rsidR="004B585B" w:rsidRDefault="006B08F9" w:rsidP="008C53D3">
      <w:pPr>
        <w:spacing w:after="0"/>
        <w:jc w:val="both"/>
      </w:pPr>
      <w:r>
        <w:t>-Les signaux qui sont perçus : Sérum, GlcNAc, temp, pH neutre, Carence, CO</w:t>
      </w:r>
      <w:r>
        <w:rPr>
          <w:vertAlign w:val="subscript"/>
        </w:rPr>
        <w:t>2</w:t>
      </w:r>
      <w:r>
        <w:t xml:space="preserve">, adhérence. </w:t>
      </w:r>
      <w:r>
        <w:sym w:font="Wingdings" w:char="F0E8"/>
      </w:r>
      <w:r>
        <w:t xml:space="preserve"> Changement de morphologie.</w:t>
      </w:r>
    </w:p>
    <w:p w:rsidR="006B08F9" w:rsidRDefault="006B08F9" w:rsidP="008C53D3">
      <w:pPr>
        <w:spacing w:after="0"/>
        <w:jc w:val="both"/>
      </w:pPr>
    </w:p>
    <w:p w:rsidR="006B08F9" w:rsidRDefault="006B08F9" w:rsidP="008C53D3">
      <w:pPr>
        <w:spacing w:after="0"/>
        <w:jc w:val="both"/>
      </w:pPr>
      <w:r>
        <w:rPr>
          <w:u w:val="single"/>
        </w:rPr>
        <w:t>Adaptation métabolique de l’hôte :</w:t>
      </w:r>
    </w:p>
    <w:p w:rsidR="006B08F9" w:rsidRDefault="006B08F9" w:rsidP="008C53D3">
      <w:pPr>
        <w:spacing w:after="0"/>
        <w:jc w:val="both"/>
      </w:pPr>
      <w:r>
        <w:t>-L’expression des facteurs de virulence sont « niche spécifique ». On n’aura pas les mêmes expressions selon le tissu infecté. Les auteurs ont réalisé une fusion GFP-Protéine. Cette protéine est sensible au stress oxydant. On aura fluo quand il y aura présence d’un stress oxydant. Dans les neutrophiles, cette levure est sous forme circulaire et exprime la fusion, donc lutte contre le stress oxydant ; Dans le rein, on a un stress oxydant moindre et la présence d’une forme filamenteuse.</w:t>
      </w:r>
      <w:r w:rsidR="009E7D54">
        <w:t xml:space="preserve"> Selon le tissu on aura des transcrits différents. </w:t>
      </w:r>
    </w:p>
    <w:p w:rsidR="009E7D54" w:rsidRDefault="00D936BF" w:rsidP="008C53D3">
      <w:pPr>
        <w:spacing w:after="0"/>
        <w:jc w:val="both"/>
      </w:pPr>
      <w:r>
        <w:t>-Niche : cavité buccale, tractus gastro intestinale, muqueuse vaginal et système sanguin si immunodéficience sévère.</w:t>
      </w:r>
    </w:p>
    <w:p w:rsidR="00D936BF" w:rsidRDefault="00D936BF" w:rsidP="008C53D3">
      <w:pPr>
        <w:spacing w:after="0"/>
        <w:jc w:val="both"/>
      </w:pPr>
      <w:r>
        <w:t>-Facteurs de virulence : cf diapo.</w:t>
      </w:r>
    </w:p>
    <w:p w:rsidR="00D936BF" w:rsidRDefault="00D936BF" w:rsidP="008C53D3">
      <w:pPr>
        <w:spacing w:after="0"/>
        <w:jc w:val="both"/>
      </w:pPr>
      <w:r>
        <w:lastRenderedPageBreak/>
        <w:t>-Up régulation des systèmes adaptés au captage et de l’assimilation du fer et du phosphate.</w:t>
      </w:r>
    </w:p>
    <w:p w:rsidR="00D936BF" w:rsidRDefault="00D936BF" w:rsidP="008C53D3">
      <w:pPr>
        <w:spacing w:after="0"/>
        <w:jc w:val="both"/>
      </w:pPr>
      <w:r>
        <w:t>-Réponse au stress : détoxification des ROS, NO (catalase SOD, glutardoxin, thioredoxin…)</w:t>
      </w:r>
    </w:p>
    <w:p w:rsidR="00D936BF" w:rsidRDefault="00D936BF" w:rsidP="008C53D3">
      <w:pPr>
        <w:spacing w:after="0"/>
        <w:jc w:val="both"/>
      </w:pPr>
    </w:p>
    <w:p w:rsidR="00D936BF" w:rsidRDefault="00D936BF" w:rsidP="008C53D3">
      <w:pPr>
        <w:spacing w:after="0"/>
        <w:jc w:val="both"/>
        <w:rPr>
          <w:u w:val="single"/>
        </w:rPr>
      </w:pPr>
      <w:r>
        <w:rPr>
          <w:u w:val="single"/>
        </w:rPr>
        <w:t>Reconnaissance de la paroi par le système immunitaire.</w:t>
      </w:r>
    </w:p>
    <w:p w:rsidR="00D936BF" w:rsidRDefault="00D936BF" w:rsidP="008C53D3">
      <w:pPr>
        <w:spacing w:after="0"/>
        <w:jc w:val="both"/>
      </w:pPr>
      <w:r>
        <w:t>-Tous les polysaccharides de Candida contribuent à sa signature immunitaire.</w:t>
      </w:r>
    </w:p>
    <w:p w:rsidR="00D936BF" w:rsidRDefault="00D936BF" w:rsidP="008C53D3">
      <w:pPr>
        <w:spacing w:after="0"/>
        <w:jc w:val="both"/>
      </w:pPr>
      <w:r>
        <w:t>-Cf diapo pour la membrane.</w:t>
      </w:r>
    </w:p>
    <w:p w:rsidR="00D936BF" w:rsidRDefault="00D936BF" w:rsidP="008C53D3">
      <w:pPr>
        <w:spacing w:after="0"/>
        <w:jc w:val="both"/>
      </w:pPr>
      <w:r>
        <w:t>-Mannan et glucan = pro inflammatoires. Entrainant l’opsonisation.</w:t>
      </w:r>
    </w:p>
    <w:p w:rsidR="00D936BF" w:rsidRDefault="00D936BF" w:rsidP="008C53D3">
      <w:pPr>
        <w:spacing w:after="0"/>
        <w:jc w:val="both"/>
      </w:pPr>
      <w:r>
        <w:t>-La chitine : anti inflammatoire.</w:t>
      </w:r>
    </w:p>
    <w:p w:rsidR="00D936BF" w:rsidRDefault="00D936BF" w:rsidP="008C53D3">
      <w:pPr>
        <w:spacing w:after="0"/>
        <w:jc w:val="both"/>
      </w:pPr>
      <w:r>
        <w:t>-Les mannan sont des PAMPs reconnu par des toll like receptor. Les béta 3 glucanes sont reconnus par des récepteurs de type C-lectine-Dectine en coopération avec les TLR2.</w:t>
      </w:r>
    </w:p>
    <w:p w:rsidR="00D936BF" w:rsidRDefault="007015EB" w:rsidP="008C53D3">
      <w:pPr>
        <w:spacing w:after="0"/>
        <w:jc w:val="both"/>
      </w:pPr>
      <w:r>
        <w:t>-la longueur du polymère de chitine va déterminer si c’est pro ou anti inflammatoire.</w:t>
      </w:r>
    </w:p>
    <w:p w:rsidR="007015EB" w:rsidRDefault="007015EB" w:rsidP="008C53D3">
      <w:pPr>
        <w:spacing w:after="0"/>
        <w:jc w:val="both"/>
      </w:pPr>
      <w:r>
        <w:t>-Un chitin binding receptor a été identifié récemment.</w:t>
      </w:r>
    </w:p>
    <w:p w:rsidR="007015EB" w:rsidRDefault="007015EB" w:rsidP="008C53D3">
      <w:pPr>
        <w:spacing w:after="0"/>
        <w:jc w:val="both"/>
      </w:pPr>
    </w:p>
    <w:p w:rsidR="007015EB" w:rsidRDefault="007015EB" w:rsidP="008C53D3">
      <w:pPr>
        <w:spacing w:after="0"/>
        <w:jc w:val="both"/>
        <w:rPr>
          <w:u w:val="single"/>
        </w:rPr>
      </w:pPr>
      <w:r>
        <w:rPr>
          <w:u w:val="single"/>
        </w:rPr>
        <w:t>Biofilms :</w:t>
      </w:r>
    </w:p>
    <w:p w:rsidR="007015EB" w:rsidRDefault="007015EB" w:rsidP="008C53D3">
      <w:pPr>
        <w:spacing w:after="0"/>
        <w:jc w:val="both"/>
      </w:pPr>
      <w:r>
        <w:t>-Implantations de matériaux synthétiques dans le corps : cathéters, prothèse dentaire, valve cardiaque. -&gt; Risques de colonisation fongique.</w:t>
      </w:r>
    </w:p>
    <w:p w:rsidR="007015EB" w:rsidRDefault="007015EB" w:rsidP="008C53D3">
      <w:pPr>
        <w:spacing w:after="0"/>
        <w:jc w:val="both"/>
      </w:pPr>
      <w:r>
        <w:t>-Formation de biofilms (résistants aux antifongiques). Candidémie, endocardite, muguet biccal (65% des personnes édentées + prothèse).</w:t>
      </w:r>
    </w:p>
    <w:p w:rsidR="007015EB" w:rsidRDefault="007015EB" w:rsidP="008C53D3">
      <w:pPr>
        <w:spacing w:after="0"/>
        <w:jc w:val="both"/>
      </w:pPr>
      <w:r>
        <w:tab/>
        <w:t>-&gt; Implantation de cathéters -&gt; dépôt de fibrinogène, plaquettes, adhésines plasmatiques en faveur de l’adhérence du champignon.</w:t>
      </w:r>
    </w:p>
    <w:p w:rsidR="007015EB" w:rsidRDefault="007015EB" w:rsidP="008C53D3">
      <w:pPr>
        <w:spacing w:after="0"/>
        <w:jc w:val="both"/>
      </w:pPr>
      <w:r>
        <w:tab/>
        <w:t>-&gt; Adhérence liée à l’hydrophobicité des matériaux grâce aux lipides, protéines hydrophobes.</w:t>
      </w:r>
    </w:p>
    <w:p w:rsidR="007015EB" w:rsidRDefault="007015EB" w:rsidP="008C53D3">
      <w:pPr>
        <w:spacing w:after="0"/>
        <w:jc w:val="both"/>
      </w:pPr>
      <w:r>
        <w:tab/>
        <w:t>-&gt; Sur polystyrène : surexpression des mannoprotéines d’adhésion par la forme filamenteuse au contact du plastique</w:t>
      </w:r>
    </w:p>
    <w:p w:rsidR="007015EB" w:rsidRDefault="007015EB" w:rsidP="008C53D3">
      <w:pPr>
        <w:spacing w:after="0"/>
        <w:jc w:val="both"/>
      </w:pPr>
      <w:r>
        <w:tab/>
        <w:t>-&gt; Etude sur polymethylacrylate pour les prothèses dentaires. Elastomère sillicone pour les cathéters.</w:t>
      </w:r>
    </w:p>
    <w:p w:rsidR="007015EB" w:rsidRDefault="007015EB" w:rsidP="008C53D3">
      <w:pPr>
        <w:spacing w:after="0"/>
        <w:jc w:val="both"/>
      </w:pPr>
    </w:p>
    <w:p w:rsidR="007015EB" w:rsidRDefault="00710897" w:rsidP="008C53D3">
      <w:pPr>
        <w:spacing w:after="0"/>
        <w:jc w:val="both"/>
      </w:pPr>
      <w:r>
        <w:t>-En carence de nutriments ou à pH acide, Candida se convertit :</w:t>
      </w:r>
    </w:p>
    <w:p w:rsidR="00710897" w:rsidRDefault="00710897" w:rsidP="008C53D3">
      <w:pPr>
        <w:spacing w:after="0"/>
        <w:jc w:val="both"/>
      </w:pPr>
      <w:r>
        <w:t>-&gt; Forme bourgeonnante à forme pseudomycélienne qui s’organise en biofilms (résistance aux fongicides, courant d’reau, formation de matériel matriciel) et est capable de pénétrer les tissus.</w:t>
      </w:r>
    </w:p>
    <w:p w:rsidR="00710897" w:rsidRDefault="00710897" w:rsidP="008C53D3">
      <w:pPr>
        <w:spacing w:after="0"/>
        <w:jc w:val="both"/>
      </w:pPr>
      <w:r>
        <w:t>-</w:t>
      </w:r>
      <w:r w:rsidR="00171482">
        <w:t>surexpression des gènes du métabolisme du soufre…</w:t>
      </w:r>
    </w:p>
    <w:p w:rsidR="00171482" w:rsidRDefault="00171482" w:rsidP="008C53D3">
      <w:pPr>
        <w:spacing w:after="0"/>
        <w:jc w:val="both"/>
      </w:pPr>
    </w:p>
    <w:p w:rsidR="00171482" w:rsidRPr="00171482" w:rsidRDefault="00171482" w:rsidP="008C53D3">
      <w:pPr>
        <w:spacing w:after="0"/>
        <w:jc w:val="both"/>
      </w:pPr>
      <w:r w:rsidRPr="00171482">
        <w:rPr>
          <w:u w:val="single"/>
        </w:rPr>
        <w:t xml:space="preserve">-Adhérence : </w:t>
      </w:r>
      <w:r>
        <w:t xml:space="preserve"> régulateur de protéines d’adhérence et de surface, gène surexprimés pendant la formation du biofilm. Régulateur transcriptionnels : Ace1, Bcr1, Tec1… -&gt; rôle dans l’adhérence hyphe-hyphe ou hyphe-levure</w:t>
      </w:r>
    </w:p>
    <w:p w:rsidR="00171482" w:rsidRPr="00171482" w:rsidRDefault="00171482" w:rsidP="008C53D3">
      <w:pPr>
        <w:spacing w:after="0"/>
        <w:jc w:val="both"/>
      </w:pPr>
      <w:r w:rsidRPr="00171482">
        <w:rPr>
          <w:u w:val="single"/>
        </w:rPr>
        <w:t>-Différenciation hyphal :</w:t>
      </w:r>
      <w:r>
        <w:t xml:space="preserve"> Les cellules bloquées en forme levure ou filamenteuse forment des biofilms rudimentaires. Voies des MAPK</w:t>
      </w:r>
    </w:p>
    <w:p w:rsidR="00171482" w:rsidRDefault="00171482" w:rsidP="008C53D3">
      <w:pPr>
        <w:spacing w:after="0"/>
        <w:jc w:val="both"/>
      </w:pPr>
      <w:r w:rsidRPr="00171482">
        <w:rPr>
          <w:u w:val="single"/>
        </w:rPr>
        <w:t>-Résistance aux drogues :</w:t>
      </w:r>
      <w:r>
        <w:t xml:space="preserve"> Les biofilms sont plus résistants aux antigongiques que les cellules planctoniques. </w:t>
      </w:r>
    </w:p>
    <w:p w:rsidR="00171482" w:rsidRDefault="00171482" w:rsidP="00171482">
      <w:pPr>
        <w:spacing w:after="0"/>
        <w:ind w:firstLine="708"/>
        <w:jc w:val="both"/>
      </w:pPr>
      <w:r>
        <w:t xml:space="preserve">–Rôle des pompes à efflux, Cdr1 et Mdr1 : surexpression des gènes dans le biofilm au cours des phases précoces. </w:t>
      </w:r>
    </w:p>
    <w:p w:rsidR="00171482" w:rsidRDefault="00171482" w:rsidP="00171482">
      <w:pPr>
        <w:spacing w:after="0"/>
        <w:ind w:firstLine="708"/>
        <w:jc w:val="both"/>
      </w:pPr>
      <w:r>
        <w:t xml:space="preserve">–Changement de composition en stérols des membranes. </w:t>
      </w:r>
    </w:p>
    <w:p w:rsidR="00171482" w:rsidRPr="00171482" w:rsidRDefault="00171482" w:rsidP="00171482">
      <w:pPr>
        <w:spacing w:after="0"/>
        <w:ind w:firstLine="708"/>
        <w:jc w:val="both"/>
      </w:pPr>
      <w:r>
        <w:t xml:space="preserve">–La piste Mkc1 : régulateur majeur dans la résistance aux azoles. La résistance aux drogues apparait avant la sécrétion de MEC. </w:t>
      </w:r>
    </w:p>
    <w:p w:rsidR="00171482" w:rsidRPr="00171482" w:rsidRDefault="00171482" w:rsidP="008C53D3">
      <w:pPr>
        <w:spacing w:after="0"/>
        <w:jc w:val="both"/>
      </w:pPr>
      <w:r w:rsidRPr="00171482">
        <w:rPr>
          <w:u w:val="single"/>
        </w:rPr>
        <w:t>-Production de MEC :</w:t>
      </w:r>
      <w:r>
        <w:t xml:space="preserve"> Rôle : protéger la phagocytose etc…  On peut stimuler la production d’exopolysaccharide si on réalise un flux de liquide.</w:t>
      </w:r>
    </w:p>
    <w:p w:rsidR="00171482" w:rsidRDefault="00171482" w:rsidP="008C53D3">
      <w:pPr>
        <w:spacing w:after="0"/>
        <w:jc w:val="both"/>
      </w:pPr>
      <w:r w:rsidRPr="00171482">
        <w:rPr>
          <w:u w:val="single"/>
        </w:rPr>
        <w:lastRenderedPageBreak/>
        <w:t>-Quorum Sensing </w:t>
      </w:r>
      <w:r w:rsidR="00AB5F97" w:rsidRPr="00171482">
        <w:rPr>
          <w:u w:val="single"/>
        </w:rPr>
        <w:t>:</w:t>
      </w:r>
      <w:r w:rsidR="00AB5F97">
        <w:t xml:space="preserve"> Réponse cellulaire densité dépendantes, on a identifié une molécule qui est le </w:t>
      </w:r>
      <w:r w:rsidR="00AB5F97">
        <w:rPr>
          <w:b/>
        </w:rPr>
        <w:t>farnésol</w:t>
      </w:r>
      <w:r w:rsidR="00AB5F97">
        <w:t xml:space="preserve"> impliqué dans la voie du stérol et de la formation du biofilm. </w:t>
      </w:r>
    </w:p>
    <w:p w:rsidR="00AB5F97" w:rsidRDefault="00AB5F97" w:rsidP="008C53D3">
      <w:pPr>
        <w:spacing w:after="0"/>
        <w:jc w:val="both"/>
      </w:pPr>
      <w:r>
        <w:tab/>
        <w:t>-Rôle de CHK1, histidine kinase (le mutant forme un biofilm en présence de farnesol).</w:t>
      </w:r>
    </w:p>
    <w:p w:rsidR="00AB5F97" w:rsidRDefault="004D277E" w:rsidP="008C53D3">
      <w:pPr>
        <w:spacing w:after="0"/>
        <w:jc w:val="both"/>
      </w:pPr>
      <w:r>
        <w:tab/>
        <w:t>-Ywp1 : anti adhésif.</w:t>
      </w:r>
    </w:p>
    <w:p w:rsidR="004D277E" w:rsidRDefault="004D277E" w:rsidP="008C53D3">
      <w:pPr>
        <w:spacing w:after="0"/>
        <w:jc w:val="both"/>
      </w:pPr>
      <w:r>
        <w:t xml:space="preserve">-Rôle central de la voie adénylate cyclase </w:t>
      </w:r>
      <w:r>
        <w:rPr>
          <w:b/>
        </w:rPr>
        <w:t>Ras1-Cyr1p/PKA-Efg1</w:t>
      </w:r>
    </w:p>
    <w:p w:rsidR="004D277E" w:rsidRDefault="004D277E" w:rsidP="008C53D3">
      <w:pPr>
        <w:spacing w:after="0"/>
        <w:jc w:val="both"/>
      </w:pPr>
      <w:r>
        <w:t>-Les sugnaux internes au biofilm :</w:t>
      </w:r>
    </w:p>
    <w:p w:rsidR="004D277E" w:rsidRDefault="004D277E" w:rsidP="008C53D3">
      <w:pPr>
        <w:spacing w:after="0"/>
        <w:jc w:val="both"/>
      </w:pPr>
      <w:r>
        <w:tab/>
        <w:t>-Inhibition de la transition forme hyphale à haute densité cellulaire &gt; à 10</w:t>
      </w:r>
      <w:r>
        <w:rPr>
          <w:vertAlign w:val="superscript"/>
        </w:rPr>
        <w:t>6</w:t>
      </w:r>
      <w:r>
        <w:t xml:space="preserve"> cell/ml</w:t>
      </w:r>
    </w:p>
    <w:p w:rsidR="004D277E" w:rsidRDefault="004D277E" w:rsidP="008C53D3">
      <w:pPr>
        <w:spacing w:after="0"/>
        <w:jc w:val="both"/>
      </w:pPr>
      <w:r>
        <w:tab/>
        <w:t>-Le surnageant de culture produit les mêmes effets que les molécules identifiées en premier lieu comme auto inductrice de QS</w:t>
      </w:r>
    </w:p>
    <w:p w:rsidR="004D277E" w:rsidRDefault="004D277E" w:rsidP="008C53D3">
      <w:pPr>
        <w:spacing w:after="0"/>
        <w:jc w:val="both"/>
      </w:pPr>
      <w:r>
        <w:tab/>
        <w:t>-Le farnesol est indentifié comme inhibiteur de la transition levure-hyphe</w:t>
      </w:r>
    </w:p>
    <w:p w:rsidR="004D277E" w:rsidRDefault="004D277E" w:rsidP="008C53D3">
      <w:pPr>
        <w:spacing w:after="0"/>
        <w:jc w:val="both"/>
      </w:pPr>
      <w:r>
        <w:tab/>
        <w:t>-L’action du farnesol implique le recrutement de facteur cf diapo.</w:t>
      </w:r>
    </w:p>
    <w:p w:rsidR="004D277E" w:rsidRDefault="004D277E" w:rsidP="008C53D3">
      <w:pPr>
        <w:spacing w:after="0"/>
        <w:jc w:val="both"/>
      </w:pPr>
      <w:r>
        <w:t>-Le farnesol augmente la transcription des gènes impliqués dans la résistance au « stress oxydant ».</w:t>
      </w:r>
    </w:p>
    <w:p w:rsidR="004D277E" w:rsidRDefault="004D277E" w:rsidP="008C53D3">
      <w:pPr>
        <w:spacing w:after="0"/>
        <w:jc w:val="both"/>
      </w:pPr>
      <w:r>
        <w:t>-Le farnesol inhibe la transition morphologique pas la croissance</w:t>
      </w:r>
    </w:p>
    <w:p w:rsidR="004D277E" w:rsidRDefault="004D277E" w:rsidP="008C53D3">
      <w:pPr>
        <w:spacing w:after="0"/>
        <w:jc w:val="both"/>
      </w:pPr>
      <w:r>
        <w:t>-Il inhibe la formation du biofilm</w:t>
      </w:r>
    </w:p>
    <w:p w:rsidR="004D277E" w:rsidRDefault="004D277E" w:rsidP="008C53D3">
      <w:pPr>
        <w:spacing w:after="0"/>
        <w:jc w:val="both"/>
      </w:pPr>
      <w:r>
        <w:t>-La production de farnesol ne dépend pas de l’apport nutritionnel et n’a pas d’effet sur la croissance fongique.</w:t>
      </w:r>
    </w:p>
    <w:p w:rsidR="004D277E" w:rsidRDefault="004D277E" w:rsidP="008C53D3">
      <w:pPr>
        <w:spacing w:after="0"/>
        <w:jc w:val="both"/>
      </w:pPr>
      <w:r>
        <w:t>-Il a une forte activité antifongique contre des levure. Il augmente la sensibilité aux antibiotiques chez S.aureux.</w:t>
      </w:r>
    </w:p>
    <w:p w:rsidR="004D277E" w:rsidRPr="004D277E" w:rsidRDefault="004D277E" w:rsidP="008C53D3">
      <w:pPr>
        <w:spacing w:after="0"/>
        <w:jc w:val="both"/>
      </w:pPr>
      <w:bookmarkStart w:id="0" w:name="_GoBack"/>
      <w:bookmarkEnd w:id="0"/>
    </w:p>
    <w:p w:rsidR="007015EB" w:rsidRPr="007015EB" w:rsidRDefault="007015EB" w:rsidP="008C53D3">
      <w:pPr>
        <w:spacing w:after="0"/>
        <w:jc w:val="both"/>
      </w:pPr>
    </w:p>
    <w:p w:rsidR="008C53D3" w:rsidRDefault="008C53D3" w:rsidP="003A6819">
      <w:pPr>
        <w:spacing w:after="0"/>
        <w:jc w:val="both"/>
      </w:pPr>
    </w:p>
    <w:p w:rsidR="001F1733" w:rsidRPr="001F1733" w:rsidRDefault="001F1733" w:rsidP="003A6819">
      <w:pPr>
        <w:spacing w:after="0"/>
        <w:jc w:val="both"/>
      </w:pPr>
    </w:p>
    <w:p w:rsidR="00170DCD" w:rsidRPr="00EB0FA5" w:rsidRDefault="00170DCD" w:rsidP="003A6819">
      <w:pPr>
        <w:spacing w:after="0"/>
        <w:jc w:val="both"/>
      </w:pPr>
    </w:p>
    <w:sectPr w:rsidR="00170DCD" w:rsidRPr="00EB0F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A14CC"/>
    <w:multiLevelType w:val="hybridMultilevel"/>
    <w:tmpl w:val="E97A8E3A"/>
    <w:lvl w:ilvl="0" w:tplc="EC063BC2">
      <w:numFmt w:val="bullet"/>
      <w:lvlText w:val=""/>
      <w:lvlJc w:val="left"/>
      <w:pPr>
        <w:ind w:left="1065" w:hanging="360"/>
      </w:pPr>
      <w:rPr>
        <w:rFonts w:ascii="Wingdings" w:eastAsiaTheme="minorHAnsi" w:hAnsi="Wingdings"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819"/>
    <w:rsid w:val="00033F63"/>
    <w:rsid w:val="00067AB9"/>
    <w:rsid w:val="00170DCD"/>
    <w:rsid w:val="00171482"/>
    <w:rsid w:val="001F1733"/>
    <w:rsid w:val="003A5441"/>
    <w:rsid w:val="003A6819"/>
    <w:rsid w:val="004A50AB"/>
    <w:rsid w:val="004B585B"/>
    <w:rsid w:val="004C4A67"/>
    <w:rsid w:val="004D277E"/>
    <w:rsid w:val="006B08F9"/>
    <w:rsid w:val="007015EB"/>
    <w:rsid w:val="00710897"/>
    <w:rsid w:val="0083757C"/>
    <w:rsid w:val="008C53D3"/>
    <w:rsid w:val="008D4A7B"/>
    <w:rsid w:val="008F32DE"/>
    <w:rsid w:val="009E7D54"/>
    <w:rsid w:val="00AB5F97"/>
    <w:rsid w:val="00AC526A"/>
    <w:rsid w:val="00AE5B29"/>
    <w:rsid w:val="00D116D6"/>
    <w:rsid w:val="00D936BF"/>
    <w:rsid w:val="00DA6D27"/>
    <w:rsid w:val="00DD5489"/>
    <w:rsid w:val="00DE2E97"/>
    <w:rsid w:val="00DE656C"/>
    <w:rsid w:val="00E04AD5"/>
    <w:rsid w:val="00E5476E"/>
    <w:rsid w:val="00EB0FA5"/>
    <w:rsid w:val="00EE51DB"/>
    <w:rsid w:val="00F82A3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C53D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C53D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7</Pages>
  <Words>2916</Words>
  <Characters>16043</Characters>
  <Application>Microsoft Office Word</Application>
  <DocSecurity>0</DocSecurity>
  <Lines>133</Lines>
  <Paragraphs>37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18922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Elypse</dc:creator>
  <cp:lastModifiedBy>Elypse</cp:lastModifiedBy>
  <cp:revision>18</cp:revision>
  <dcterms:created xsi:type="dcterms:W3CDTF">2013-04-15T07:20:00Z</dcterms:created>
  <dcterms:modified xsi:type="dcterms:W3CDTF">2013-04-19T11:14:00Z</dcterms:modified>
</cp:coreProperties>
</file>